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3" w:rsidRDefault="00104E5F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KSV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104E5F">
        <w:rPr>
          <w:rFonts w:ascii="Arial" w:hAnsi="Arial" w:cs="Arial"/>
          <w:b/>
          <w:sz w:val="20"/>
          <w:szCs w:val="20"/>
        </w:rPr>
        <w:t>Explanation for the difference before after auditing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716BE">
        <w:rPr>
          <w:rFonts w:ascii="Arial" w:hAnsi="Arial" w:cs="Arial"/>
          <w:sz w:val="20"/>
          <w:szCs w:val="20"/>
        </w:rPr>
        <w:t>13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04E5F" w:rsidRPr="00104E5F">
        <w:rPr>
          <w:rFonts w:ascii="Arial" w:hAnsi="Arial" w:cs="Arial"/>
          <w:sz w:val="20"/>
          <w:szCs w:val="20"/>
        </w:rPr>
        <w:t>Vinacomin</w:t>
      </w:r>
      <w:proofErr w:type="spellEnd"/>
      <w:r w:rsidR="00104E5F" w:rsidRPr="00104E5F">
        <w:rPr>
          <w:rFonts w:ascii="Arial" w:hAnsi="Arial" w:cs="Arial"/>
          <w:sz w:val="20"/>
          <w:szCs w:val="20"/>
        </w:rPr>
        <w:t xml:space="preserve"> - Minerals Holding Corporation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104E5F" w:rsidRPr="00104E5F">
        <w:rPr>
          <w:rFonts w:ascii="Arial" w:hAnsi="Arial" w:cs="Arial"/>
          <w:sz w:val="20"/>
          <w:szCs w:val="20"/>
        </w:rPr>
        <w:t>difference before after auditing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04E5F" w:rsidRDefault="0010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million dongs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1890"/>
        <w:gridCol w:w="1818"/>
      </w:tblGrid>
      <w:tr w:rsidR="00104E5F" w:rsidTr="00605790">
        <w:tc>
          <w:tcPr>
            <w:tcW w:w="3708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160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auditing</w:t>
            </w:r>
          </w:p>
        </w:tc>
        <w:tc>
          <w:tcPr>
            <w:tcW w:w="1890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auditing</w:t>
            </w:r>
          </w:p>
        </w:tc>
        <w:tc>
          <w:tcPr>
            <w:tcW w:w="1818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104E5F" w:rsidTr="00605790">
        <w:tc>
          <w:tcPr>
            <w:tcW w:w="3708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Holding company financial statement </w:t>
            </w:r>
          </w:p>
        </w:tc>
        <w:tc>
          <w:tcPr>
            <w:tcW w:w="2160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E5F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4E5F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890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E5F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4E5F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818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E5F">
              <w:rPr>
                <w:rFonts w:ascii="Arial" w:hAnsi="Arial" w:cs="Arial"/>
                <w:sz w:val="20"/>
                <w:szCs w:val="20"/>
              </w:rPr>
              <w:t>- 17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4E5F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</w:tr>
      <w:tr w:rsidR="00104E5F" w:rsidTr="00605790">
        <w:tc>
          <w:tcPr>
            <w:tcW w:w="3708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Consolidated financial statement </w:t>
            </w:r>
          </w:p>
        </w:tc>
        <w:tc>
          <w:tcPr>
            <w:tcW w:w="2160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E5F">
              <w:rPr>
                <w:rFonts w:ascii="Arial" w:hAnsi="Arial" w:cs="Arial"/>
                <w:sz w:val="20"/>
                <w:szCs w:val="20"/>
              </w:rPr>
              <w:t>- 29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4E5F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890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E5F">
              <w:rPr>
                <w:rFonts w:ascii="Arial" w:hAnsi="Arial" w:cs="Arial"/>
                <w:sz w:val="20"/>
                <w:szCs w:val="20"/>
              </w:rPr>
              <w:t>- 43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4E5F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818" w:type="dxa"/>
          </w:tcPr>
          <w:p w:rsidR="00104E5F" w:rsidRDefault="00104E5F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E5F">
              <w:rPr>
                <w:rFonts w:ascii="Arial" w:hAnsi="Arial" w:cs="Arial"/>
                <w:sz w:val="20"/>
                <w:szCs w:val="20"/>
              </w:rPr>
              <w:t>- 13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4E5F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</w:tr>
    </w:tbl>
    <w:p w:rsidR="00104E5F" w:rsidRDefault="00104E5F" w:rsidP="00F903A5">
      <w:pPr>
        <w:jc w:val="both"/>
        <w:rPr>
          <w:rFonts w:ascii="Arial" w:hAnsi="Arial" w:cs="Arial"/>
          <w:sz w:val="20"/>
          <w:szCs w:val="20"/>
        </w:rPr>
      </w:pPr>
    </w:p>
    <w:p w:rsidR="00104E5F" w:rsidRDefault="00104E5F" w:rsidP="00F903A5">
      <w:pPr>
        <w:jc w:val="both"/>
        <w:rPr>
          <w:rFonts w:ascii="Arial" w:hAnsi="Arial" w:cs="Arial"/>
          <w:sz w:val="20"/>
          <w:szCs w:val="20"/>
        </w:rPr>
      </w:pPr>
      <w:r w:rsidRPr="00104E5F">
        <w:rPr>
          <w:rFonts w:ascii="Arial" w:hAnsi="Arial" w:cs="Arial"/>
          <w:sz w:val="20"/>
          <w:szCs w:val="20"/>
        </w:rPr>
        <w:t>Profit after tax of the Corporation after auditing decreased</w:t>
      </w:r>
      <w:r>
        <w:rPr>
          <w:rFonts w:ascii="Arial" w:hAnsi="Arial" w:cs="Arial"/>
          <w:sz w:val="20"/>
          <w:szCs w:val="20"/>
        </w:rPr>
        <w:t xml:space="preserve"> by 13,048 million dongs</w:t>
      </w:r>
      <w:r w:rsidRPr="00104E5F">
        <w:rPr>
          <w:rFonts w:ascii="Arial" w:hAnsi="Arial" w:cs="Arial"/>
          <w:sz w:val="20"/>
          <w:szCs w:val="20"/>
        </w:rPr>
        <w:t xml:space="preserve"> com</w:t>
      </w:r>
      <w:r>
        <w:rPr>
          <w:rFonts w:ascii="Arial" w:hAnsi="Arial" w:cs="Arial"/>
          <w:sz w:val="20"/>
          <w:szCs w:val="20"/>
        </w:rPr>
        <w:t xml:space="preserve">pared to the unaudited number, </w:t>
      </w:r>
      <w:r w:rsidRPr="00104E5F">
        <w:rPr>
          <w:rFonts w:ascii="Arial" w:hAnsi="Arial" w:cs="Arial"/>
          <w:sz w:val="20"/>
          <w:szCs w:val="20"/>
        </w:rPr>
        <w:t>equivalent t</w:t>
      </w:r>
      <w:r>
        <w:rPr>
          <w:rFonts w:ascii="Arial" w:hAnsi="Arial" w:cs="Arial"/>
          <w:sz w:val="20"/>
          <w:szCs w:val="20"/>
        </w:rPr>
        <w:t>o a decrease of 43.5%</w:t>
      </w:r>
    </w:p>
    <w:p w:rsidR="00104E5F" w:rsidRDefault="00104E5F" w:rsidP="00F903A5">
      <w:pPr>
        <w:jc w:val="both"/>
        <w:rPr>
          <w:rFonts w:ascii="Arial" w:hAnsi="Arial" w:cs="Arial"/>
          <w:sz w:val="20"/>
          <w:szCs w:val="20"/>
        </w:rPr>
      </w:pPr>
      <w:r w:rsidRPr="00104E5F">
        <w:rPr>
          <w:rFonts w:ascii="Arial" w:hAnsi="Arial" w:cs="Arial"/>
          <w:sz w:val="20"/>
          <w:szCs w:val="20"/>
        </w:rPr>
        <w:t>Reason</w:t>
      </w:r>
      <w:r>
        <w:rPr>
          <w:rFonts w:ascii="Arial" w:hAnsi="Arial" w:cs="Arial"/>
          <w:sz w:val="20"/>
          <w:szCs w:val="20"/>
        </w:rPr>
        <w:t>s</w:t>
      </w:r>
      <w:r w:rsidRPr="00104E5F">
        <w:rPr>
          <w:rFonts w:ascii="Arial" w:hAnsi="Arial" w:cs="Arial"/>
          <w:sz w:val="20"/>
          <w:szCs w:val="20"/>
        </w:rPr>
        <w:t xml:space="preserve">: </w:t>
      </w:r>
    </w:p>
    <w:p w:rsidR="00104E5F" w:rsidRDefault="00104E5F" w:rsidP="00F903A5">
      <w:pPr>
        <w:jc w:val="both"/>
        <w:rPr>
          <w:rFonts w:ascii="Arial" w:hAnsi="Arial" w:cs="Arial"/>
          <w:sz w:val="20"/>
          <w:szCs w:val="20"/>
        </w:rPr>
      </w:pPr>
      <w:r w:rsidRPr="00104E5F">
        <w:rPr>
          <w:rFonts w:ascii="Arial" w:hAnsi="Arial" w:cs="Arial"/>
          <w:sz w:val="20"/>
          <w:szCs w:val="20"/>
        </w:rPr>
        <w:t xml:space="preserve">1. Profit before tax of the Corporation decreased </w:t>
      </w:r>
      <w:r>
        <w:rPr>
          <w:rFonts w:ascii="Arial" w:hAnsi="Arial" w:cs="Arial"/>
          <w:sz w:val="20"/>
          <w:szCs w:val="20"/>
        </w:rPr>
        <w:t>by 5,</w:t>
      </w:r>
      <w:r w:rsidRPr="00104E5F">
        <w:rPr>
          <w:rFonts w:ascii="Arial" w:hAnsi="Arial" w:cs="Arial"/>
          <w:sz w:val="20"/>
          <w:szCs w:val="20"/>
        </w:rPr>
        <w:t>094</w:t>
      </w:r>
      <w:r>
        <w:rPr>
          <w:rFonts w:ascii="Arial" w:hAnsi="Arial" w:cs="Arial"/>
          <w:sz w:val="20"/>
          <w:szCs w:val="20"/>
        </w:rPr>
        <w:t xml:space="preserve"> million dongs</w:t>
      </w:r>
      <w:r w:rsidRPr="00104E5F">
        <w:rPr>
          <w:rFonts w:ascii="Arial" w:hAnsi="Arial" w:cs="Arial"/>
          <w:sz w:val="20"/>
          <w:szCs w:val="20"/>
        </w:rPr>
        <w:t>, which w</w:t>
      </w:r>
      <w:r>
        <w:rPr>
          <w:rFonts w:ascii="Arial" w:hAnsi="Arial" w:cs="Arial"/>
          <w:sz w:val="20"/>
          <w:szCs w:val="20"/>
        </w:rPr>
        <w:t>as mainly due to the decrease of 11,</w:t>
      </w:r>
      <w:r w:rsidRPr="00104E5F">
        <w:rPr>
          <w:rFonts w:ascii="Arial" w:hAnsi="Arial" w:cs="Arial"/>
          <w:sz w:val="20"/>
          <w:szCs w:val="20"/>
        </w:rPr>
        <w:t>279 million</w:t>
      </w:r>
      <w:r>
        <w:rPr>
          <w:rFonts w:ascii="Arial" w:hAnsi="Arial" w:cs="Arial"/>
          <w:sz w:val="20"/>
          <w:szCs w:val="20"/>
        </w:rPr>
        <w:t xml:space="preserve"> dongs in the Parent Company's p</w:t>
      </w:r>
      <w:r w:rsidRPr="00104E5F">
        <w:rPr>
          <w:rFonts w:ascii="Arial" w:hAnsi="Arial" w:cs="Arial"/>
          <w:sz w:val="20"/>
          <w:szCs w:val="20"/>
        </w:rPr>
        <w:t>rofit before tax, Profit before tax of Thai Nguyen</w:t>
      </w:r>
      <w:r>
        <w:rPr>
          <w:rFonts w:ascii="Arial" w:hAnsi="Arial" w:cs="Arial"/>
          <w:sz w:val="20"/>
          <w:szCs w:val="20"/>
        </w:rPr>
        <w:t xml:space="preserve"> non-ferrous metal</w:t>
      </w:r>
      <w:r w:rsidRPr="00104E5F">
        <w:rPr>
          <w:rFonts w:ascii="Arial" w:hAnsi="Arial" w:cs="Arial"/>
          <w:sz w:val="20"/>
          <w:szCs w:val="20"/>
        </w:rPr>
        <w:t xml:space="preserve"> Joint Stock Company incre</w:t>
      </w:r>
      <w:r>
        <w:rPr>
          <w:rFonts w:ascii="Arial" w:hAnsi="Arial" w:cs="Arial"/>
          <w:sz w:val="20"/>
          <w:szCs w:val="20"/>
        </w:rPr>
        <w:t>ased by 4,652 million dongs</w:t>
      </w:r>
    </w:p>
    <w:p w:rsidR="00605790" w:rsidRDefault="00104E5F" w:rsidP="00F903A5">
      <w:pPr>
        <w:jc w:val="both"/>
        <w:rPr>
          <w:rFonts w:ascii="Arial" w:hAnsi="Arial" w:cs="Arial"/>
          <w:sz w:val="20"/>
          <w:szCs w:val="20"/>
        </w:rPr>
      </w:pPr>
      <w:r w:rsidRPr="00104E5F">
        <w:rPr>
          <w:rFonts w:ascii="Arial" w:hAnsi="Arial" w:cs="Arial"/>
          <w:sz w:val="20"/>
          <w:szCs w:val="20"/>
        </w:rPr>
        <w:t>Profit before tax of the Parent Company decreased due to t</w:t>
      </w:r>
      <w:r>
        <w:rPr>
          <w:rFonts w:ascii="Arial" w:hAnsi="Arial" w:cs="Arial"/>
          <w:sz w:val="20"/>
          <w:szCs w:val="20"/>
        </w:rPr>
        <w:t>he supplement of salary fund of 9,</w:t>
      </w:r>
      <w:r w:rsidRPr="00104E5F">
        <w:rPr>
          <w:rFonts w:ascii="Arial" w:hAnsi="Arial" w:cs="Arial"/>
          <w:sz w:val="20"/>
          <w:szCs w:val="20"/>
        </w:rPr>
        <w:t xml:space="preserve">861 </w:t>
      </w:r>
      <w:r>
        <w:rPr>
          <w:rFonts w:ascii="Arial" w:hAnsi="Arial" w:cs="Arial"/>
          <w:sz w:val="20"/>
          <w:szCs w:val="20"/>
        </w:rPr>
        <w:t>million dongs, supplement to science and technology fund of 2,</w:t>
      </w:r>
      <w:r w:rsidRPr="00104E5F">
        <w:rPr>
          <w:rFonts w:ascii="Arial" w:hAnsi="Arial" w:cs="Arial"/>
          <w:sz w:val="20"/>
          <w:szCs w:val="20"/>
        </w:rPr>
        <w:t xml:space="preserve">900 </w:t>
      </w:r>
      <w:r>
        <w:rPr>
          <w:rFonts w:ascii="Arial" w:hAnsi="Arial" w:cs="Arial"/>
          <w:sz w:val="20"/>
          <w:szCs w:val="20"/>
        </w:rPr>
        <w:t>million dongs</w:t>
      </w:r>
      <w:r w:rsidRPr="00104E5F">
        <w:rPr>
          <w:rFonts w:ascii="Arial" w:hAnsi="Arial" w:cs="Arial"/>
          <w:sz w:val="20"/>
          <w:szCs w:val="20"/>
        </w:rPr>
        <w:t>, other increase adjustments: 1</w:t>
      </w:r>
      <w:r>
        <w:rPr>
          <w:rFonts w:ascii="Arial" w:hAnsi="Arial" w:cs="Arial"/>
          <w:sz w:val="20"/>
          <w:szCs w:val="20"/>
        </w:rPr>
        <w:t xml:space="preserve">,482 million dongs; </w:t>
      </w:r>
      <w:r w:rsidRPr="00104E5F">
        <w:rPr>
          <w:rFonts w:ascii="Arial" w:hAnsi="Arial" w:cs="Arial"/>
          <w:sz w:val="20"/>
          <w:szCs w:val="20"/>
        </w:rPr>
        <w:t xml:space="preserve">Profit before tax of Thai Nguyen </w:t>
      </w:r>
      <w:r w:rsidR="00605790">
        <w:rPr>
          <w:rFonts w:ascii="Arial" w:hAnsi="Arial" w:cs="Arial"/>
          <w:sz w:val="20"/>
          <w:szCs w:val="20"/>
        </w:rPr>
        <w:t>non-ferrous metal</w:t>
      </w:r>
      <w:r w:rsidRPr="00104E5F">
        <w:rPr>
          <w:rFonts w:ascii="Arial" w:hAnsi="Arial" w:cs="Arial"/>
          <w:sz w:val="20"/>
          <w:szCs w:val="20"/>
        </w:rPr>
        <w:t xml:space="preserve"> Joint Stock Company increased due to the calculation and reallocation of some expenses, reducing costs</w:t>
      </w:r>
      <w:r w:rsidR="00605790">
        <w:rPr>
          <w:rFonts w:ascii="Arial" w:hAnsi="Arial" w:cs="Arial"/>
          <w:sz w:val="20"/>
          <w:szCs w:val="20"/>
        </w:rPr>
        <w:t xml:space="preserve"> deducted into the cost of the period</w:t>
      </w:r>
    </w:p>
    <w:p w:rsidR="00104E5F" w:rsidRDefault="0060579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04E5F" w:rsidRPr="00104E5F">
        <w:rPr>
          <w:rFonts w:ascii="Arial" w:hAnsi="Arial" w:cs="Arial"/>
          <w:sz w:val="20"/>
          <w:szCs w:val="20"/>
        </w:rPr>
        <w:t>Corporate income tax expense increased by 7,955</w:t>
      </w:r>
      <w:r>
        <w:rPr>
          <w:rFonts w:ascii="Arial" w:hAnsi="Arial" w:cs="Arial"/>
          <w:sz w:val="20"/>
          <w:szCs w:val="20"/>
        </w:rPr>
        <w:t xml:space="preserve"> million dongs</w:t>
      </w:r>
      <w:r w:rsidR="00104E5F" w:rsidRPr="00104E5F">
        <w:rPr>
          <w:rFonts w:ascii="Arial" w:hAnsi="Arial" w:cs="Arial"/>
          <w:sz w:val="20"/>
          <w:szCs w:val="20"/>
        </w:rPr>
        <w:t xml:space="preserve"> due to </w:t>
      </w:r>
      <w:r>
        <w:rPr>
          <w:rFonts w:ascii="Arial" w:hAnsi="Arial" w:cs="Arial"/>
          <w:sz w:val="20"/>
          <w:szCs w:val="20"/>
        </w:rPr>
        <w:t>unaudited</w:t>
      </w:r>
      <w:r w:rsidR="00104E5F" w:rsidRPr="00104E5F">
        <w:rPr>
          <w:rFonts w:ascii="Arial" w:hAnsi="Arial" w:cs="Arial"/>
          <w:sz w:val="20"/>
          <w:szCs w:val="20"/>
        </w:rPr>
        <w:t xml:space="preserve"> figures</w:t>
      </w:r>
      <w:r>
        <w:rPr>
          <w:rFonts w:ascii="Arial" w:hAnsi="Arial" w:cs="Arial"/>
          <w:sz w:val="20"/>
          <w:szCs w:val="20"/>
        </w:rPr>
        <w:t xml:space="preserve"> of t</w:t>
      </w:r>
      <w:r w:rsidR="00104E5F" w:rsidRPr="00104E5F">
        <w:rPr>
          <w:rFonts w:ascii="Arial" w:hAnsi="Arial" w:cs="Arial"/>
          <w:sz w:val="20"/>
          <w:szCs w:val="20"/>
        </w:rPr>
        <w:t xml:space="preserve">he parent company </w:t>
      </w:r>
      <w:r>
        <w:rPr>
          <w:rFonts w:ascii="Arial" w:hAnsi="Arial" w:cs="Arial"/>
          <w:sz w:val="20"/>
          <w:szCs w:val="20"/>
        </w:rPr>
        <w:t>excluding corporate income tax;</w:t>
      </w:r>
      <w:r w:rsidR="00104E5F" w:rsidRPr="00104E5F">
        <w:rPr>
          <w:rFonts w:ascii="Arial" w:hAnsi="Arial" w:cs="Arial"/>
          <w:sz w:val="20"/>
          <w:szCs w:val="20"/>
        </w:rPr>
        <w:t xml:space="preserve"> after auditing</w:t>
      </w:r>
      <w:r>
        <w:rPr>
          <w:rFonts w:ascii="Arial" w:hAnsi="Arial" w:cs="Arial"/>
          <w:sz w:val="20"/>
          <w:szCs w:val="20"/>
        </w:rPr>
        <w:t>,</w:t>
      </w:r>
      <w:r w:rsidR="00104E5F" w:rsidRPr="00104E5F">
        <w:rPr>
          <w:rFonts w:ascii="Arial" w:hAnsi="Arial" w:cs="Arial"/>
          <w:sz w:val="20"/>
          <w:szCs w:val="20"/>
        </w:rPr>
        <w:t xml:space="preserve"> the current corporate income tax expense increased by </w:t>
      </w:r>
      <w:r>
        <w:rPr>
          <w:rFonts w:ascii="Arial" w:hAnsi="Arial" w:cs="Arial"/>
          <w:sz w:val="20"/>
          <w:szCs w:val="20"/>
        </w:rPr>
        <w:t>6,561 million dongs</w:t>
      </w:r>
      <w:r w:rsidR="00104E5F" w:rsidRPr="00104E5F">
        <w:rPr>
          <w:rFonts w:ascii="Arial" w:hAnsi="Arial" w:cs="Arial"/>
          <w:sz w:val="20"/>
          <w:szCs w:val="20"/>
        </w:rPr>
        <w:t>, the corporate income tax of Thai Nguyen</w:t>
      </w:r>
      <w:r>
        <w:rPr>
          <w:rFonts w:ascii="Arial" w:hAnsi="Arial" w:cs="Arial"/>
          <w:sz w:val="20"/>
          <w:szCs w:val="20"/>
        </w:rPr>
        <w:t xml:space="preserve"> non-ferrous metal</w:t>
      </w:r>
      <w:r w:rsidR="00104E5F" w:rsidRPr="00104E5F">
        <w:rPr>
          <w:rFonts w:ascii="Arial" w:hAnsi="Arial" w:cs="Arial"/>
          <w:sz w:val="20"/>
          <w:szCs w:val="20"/>
        </w:rPr>
        <w:t xml:space="preserve"> Company increased </w:t>
      </w:r>
      <w:r>
        <w:rPr>
          <w:rFonts w:ascii="Arial" w:hAnsi="Arial" w:cs="Arial"/>
          <w:sz w:val="20"/>
          <w:szCs w:val="20"/>
        </w:rPr>
        <w:t>by 1,</w:t>
      </w:r>
      <w:r w:rsidR="00104E5F" w:rsidRPr="00104E5F">
        <w:rPr>
          <w:rFonts w:ascii="Arial" w:hAnsi="Arial" w:cs="Arial"/>
          <w:sz w:val="20"/>
          <w:szCs w:val="20"/>
        </w:rPr>
        <w:t xml:space="preserve">083 </w:t>
      </w:r>
      <w:r>
        <w:rPr>
          <w:rFonts w:ascii="Arial" w:hAnsi="Arial" w:cs="Arial"/>
          <w:sz w:val="20"/>
          <w:szCs w:val="20"/>
        </w:rPr>
        <w:t>million dongs due to increase in</w:t>
      </w:r>
      <w:r w:rsidR="00104E5F" w:rsidRPr="00104E5F">
        <w:rPr>
          <w:rFonts w:ascii="Arial" w:hAnsi="Arial" w:cs="Arial"/>
          <w:sz w:val="20"/>
          <w:szCs w:val="20"/>
        </w:rPr>
        <w:t xml:space="preserve"> profits as describe</w:t>
      </w:r>
      <w:bookmarkStart w:id="0" w:name="_GoBack"/>
      <w:bookmarkEnd w:id="0"/>
      <w:r w:rsidR="00104E5F" w:rsidRPr="00104E5F">
        <w:rPr>
          <w:rFonts w:ascii="Arial" w:hAnsi="Arial" w:cs="Arial"/>
          <w:sz w:val="20"/>
          <w:szCs w:val="20"/>
        </w:rPr>
        <w:t>d in part 1</w:t>
      </w:r>
    </w:p>
    <w:sectPr w:rsidR="0010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D0B1B"/>
    <w:rsid w:val="00104E5F"/>
    <w:rsid w:val="00132EC5"/>
    <w:rsid w:val="002D53EE"/>
    <w:rsid w:val="002E7FD0"/>
    <w:rsid w:val="002F73C3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05790"/>
    <w:rsid w:val="006E15A6"/>
    <w:rsid w:val="00726F25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E00C93"/>
    <w:rsid w:val="00E14B9A"/>
    <w:rsid w:val="00E67D5E"/>
    <w:rsid w:val="00E716BE"/>
    <w:rsid w:val="00EC5DE8"/>
    <w:rsid w:val="00F320D6"/>
    <w:rsid w:val="00F72556"/>
    <w:rsid w:val="00F86F7A"/>
    <w:rsid w:val="00F903A5"/>
    <w:rsid w:val="00FC237D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44</cp:revision>
  <dcterms:created xsi:type="dcterms:W3CDTF">2019-10-16T10:03:00Z</dcterms:created>
  <dcterms:modified xsi:type="dcterms:W3CDTF">2020-03-18T16:34:00Z</dcterms:modified>
</cp:coreProperties>
</file>